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39D" w:rsidRDefault="00E9737A">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snapToGrid w:val="0"/>
          <w:kern w:val="0"/>
          <w:sz w:val="24"/>
        </w:rPr>
        <w:t xml:space="preserve">3GPP </w:t>
      </w:r>
      <w:proofErr w:type="spellStart"/>
      <w:r>
        <w:rPr>
          <w:rFonts w:ascii="Arial" w:hAnsi="Arial" w:cs="Arial"/>
          <w:b/>
          <w:bCs/>
          <w:snapToGrid w:val="0"/>
          <w:kern w:val="0"/>
          <w:sz w:val="24"/>
        </w:rPr>
        <w:t>TSG</w:t>
      </w:r>
      <w:proofErr w:type="spellEnd"/>
      <w:r>
        <w:rPr>
          <w:rFonts w:ascii="Arial" w:hAnsi="Arial" w:cs="Arial"/>
          <w:b/>
          <w:bCs/>
          <w:snapToGrid w:val="0"/>
          <w:kern w:val="0"/>
          <w:sz w:val="24"/>
        </w:rPr>
        <w:t xml:space="preserve">-RAN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w:t>
      </w:r>
      <w:r>
        <w:rPr>
          <w:rFonts w:ascii="Arial" w:hAnsi="Arial" w:cs="Arial"/>
          <w:b/>
          <w:bCs/>
          <w:snapToGrid w:val="0"/>
          <w:kern w:val="0"/>
          <w:sz w:val="24"/>
          <w:lang w:val="en-GB"/>
        </w:rPr>
        <w:t>10</w:t>
      </w:r>
      <w:r>
        <w:rPr>
          <w:rFonts w:ascii="Arial" w:hAnsi="Arial" w:cs="Arial"/>
          <w:b/>
          <w:bCs/>
          <w:snapToGrid w:val="0"/>
          <w:kern w:val="0"/>
          <w:sz w:val="24"/>
        </w:rPr>
        <w:t>9 electronic</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  </w:t>
      </w:r>
      <w:proofErr w:type="spellStart"/>
      <w:r>
        <w:rPr>
          <w:rFonts w:ascii="Arial" w:hAnsi="Arial" w:cs="Arial" w:hint="eastAsia"/>
          <w:b/>
          <w:bCs/>
          <w:snapToGrid w:val="0"/>
          <w:kern w:val="0"/>
          <w:sz w:val="24"/>
        </w:rPr>
        <w:t>R2</w:t>
      </w:r>
      <w:proofErr w:type="spellEnd"/>
      <w:r>
        <w:rPr>
          <w:rFonts w:ascii="Arial" w:hAnsi="Arial" w:cs="Arial" w:hint="eastAsia"/>
          <w:b/>
          <w:bCs/>
          <w:snapToGrid w:val="0"/>
          <w:kern w:val="0"/>
          <w:sz w:val="24"/>
        </w:rPr>
        <w:t>-2001262</w:t>
      </w:r>
    </w:p>
    <w:p w:rsidR="006A539D" w:rsidRPr="00E56C70" w:rsidRDefault="00E56C70" w:rsidP="00E56C70">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sz w:val="24"/>
        </w:rPr>
        <w:t>Online</w:t>
      </w:r>
      <w:r>
        <w:rPr>
          <w:rFonts w:ascii="Arial" w:hAnsi="Arial" w:cs="Arial" w:hint="eastAsia"/>
          <w:b/>
          <w:bCs/>
          <w:kern w:val="0"/>
          <w:sz w:val="24"/>
        </w:rPr>
        <w:t>,</w:t>
      </w:r>
      <w:r>
        <w:rPr>
          <w:rFonts w:ascii="Arial" w:eastAsia="宋体" w:hAnsi="Arial" w:cs="Arial" w:hint="eastAsia"/>
          <w:b/>
          <w:bCs/>
          <w:kern w:val="0"/>
          <w:sz w:val="24"/>
        </w:rPr>
        <w:t xml:space="preserve"> </w:t>
      </w:r>
      <w:r>
        <w:rPr>
          <w:rFonts w:ascii="Arial" w:hAnsi="Arial" w:cs="Arial" w:hint="eastAsia"/>
          <w:b/>
          <w:bCs/>
          <w:kern w:val="0"/>
          <w:sz w:val="24"/>
        </w:rPr>
        <w:t>2</w:t>
      </w:r>
      <w:r>
        <w:rPr>
          <w:rFonts w:ascii="Arial" w:eastAsia="宋体" w:hAnsi="Arial" w:cs="Arial" w:hint="eastAsia"/>
          <w:b/>
          <w:bCs/>
          <w:kern w:val="0"/>
          <w:sz w:val="24"/>
        </w:rPr>
        <w:t>4</w:t>
      </w:r>
      <w:r>
        <w:rPr>
          <w:rFonts w:ascii="Arial" w:hAnsi="Arial" w:cs="Arial" w:hint="eastAsia"/>
          <w:b/>
          <w:bCs/>
          <w:kern w:val="0"/>
          <w:sz w:val="24"/>
        </w:rPr>
        <w:t xml:space="preserve">th February </w:t>
      </w:r>
      <w:r>
        <w:rPr>
          <w:rFonts w:ascii="Arial" w:hAnsi="Arial" w:cs="Arial"/>
          <w:b/>
          <w:bCs/>
          <w:sz w:val="24"/>
        </w:rPr>
        <w:t xml:space="preserve">- 6th March </w:t>
      </w:r>
      <w:r>
        <w:rPr>
          <w:rFonts w:ascii="Arial" w:hAnsi="Arial" w:cs="Arial" w:hint="eastAsia"/>
          <w:b/>
          <w:bCs/>
          <w:kern w:val="0"/>
          <w:sz w:val="24"/>
        </w:rPr>
        <w:t>2020</w:t>
      </w:r>
      <w:r w:rsidR="00E9737A">
        <w:rPr>
          <w:b/>
          <w:sz w:val="24"/>
        </w:rPr>
        <w:tab/>
      </w:r>
      <w:r w:rsidR="00E9737A">
        <w:rPr>
          <w:b/>
          <w:sz w:val="24"/>
        </w:rPr>
        <w:tab/>
      </w:r>
      <w:r w:rsidR="00E9737A">
        <w:rPr>
          <w:b/>
          <w:sz w:val="24"/>
        </w:rPr>
        <w:tab/>
      </w:r>
      <w:r w:rsidR="00E9737A">
        <w:rPr>
          <w:b/>
          <w:sz w:val="24"/>
        </w:rPr>
        <w:tab/>
      </w:r>
      <w:r w:rsidR="00E9737A">
        <w:rPr>
          <w:b/>
          <w:sz w:val="24"/>
        </w:rPr>
        <w:tab/>
      </w:r>
      <w:r>
        <w:rPr>
          <w:b/>
          <w:sz w:val="24"/>
        </w:rPr>
        <w:t xml:space="preserve">         </w:t>
      </w:r>
      <w:r w:rsidR="00E9737A">
        <w:rPr>
          <w:b/>
          <w:sz w:val="24"/>
        </w:rPr>
        <w:t xml:space="preserve">  </w:t>
      </w:r>
      <w:r w:rsidR="00E9737A">
        <w:rPr>
          <w:b/>
          <w:color w:val="808080" w:themeColor="background1" w:themeShade="80"/>
          <w:sz w:val="24"/>
        </w:rPr>
        <w:t>Re</w:t>
      </w:r>
      <w:r w:rsidR="00E9737A">
        <w:rPr>
          <w:b/>
          <w:color w:val="808080" w:themeColor="background1" w:themeShade="80"/>
          <w:sz w:val="24"/>
        </w:rPr>
        <w:t xml:space="preserve">vision of </w:t>
      </w:r>
      <w:proofErr w:type="spellStart"/>
      <w:r w:rsidR="00E9737A">
        <w:rPr>
          <w:rFonts w:cs="Arial" w:hint="eastAsia"/>
          <w:b/>
          <w:bCs/>
          <w:snapToGrid w:val="0"/>
          <w:color w:val="808080" w:themeColor="background1" w:themeShade="80"/>
          <w:sz w:val="24"/>
        </w:rPr>
        <w:t>R2</w:t>
      </w:r>
      <w:proofErr w:type="spellEnd"/>
      <w:r w:rsidR="00E9737A">
        <w:rPr>
          <w:rFonts w:cs="Arial" w:hint="eastAsia"/>
          <w:b/>
          <w:bCs/>
          <w:snapToGrid w:val="0"/>
          <w:color w:val="808080" w:themeColor="background1" w:themeShade="80"/>
          <w:sz w:val="24"/>
        </w:rPr>
        <w:t>-191</w:t>
      </w:r>
      <w:r w:rsidR="00E9737A">
        <w:rPr>
          <w:rFonts w:cs="Arial"/>
          <w:b/>
          <w:bCs/>
          <w:snapToGrid w:val="0"/>
          <w:color w:val="808080" w:themeColor="background1" w:themeShade="80"/>
          <w:sz w:val="24"/>
        </w:rPr>
        <w:t>4820</w:t>
      </w:r>
    </w:p>
    <w:p w:rsidR="006A539D" w:rsidRDefault="006A539D">
      <w:pPr>
        <w:overflowPunct w:val="0"/>
        <w:autoSpaceDE w:val="0"/>
        <w:autoSpaceDN w:val="0"/>
        <w:adjustRightInd w:val="0"/>
        <w:snapToGrid w:val="0"/>
        <w:jc w:val="left"/>
        <w:textAlignment w:val="baseline"/>
        <w:rPr>
          <w:rFonts w:ascii="Arial" w:hAnsi="Arial" w:cs="Arial"/>
          <w:b/>
          <w:bCs/>
          <w:kern w:val="0"/>
          <w:sz w:val="28"/>
          <w:szCs w:val="28"/>
        </w:rPr>
      </w:pPr>
    </w:p>
    <w:p w:rsidR="006A539D" w:rsidRDefault="00E9737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6A539D" w:rsidRDefault="00E9737A">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on Early Measurement</w:t>
      </w:r>
      <w:r>
        <w:rPr>
          <w:rFonts w:ascii="Arial" w:hAnsi="Arial" w:cs="Arial" w:hint="eastAsia"/>
          <w:b/>
          <w:bCs/>
          <w:snapToGrid w:val="0"/>
          <w:kern w:val="0"/>
          <w:sz w:val="24"/>
        </w:rPr>
        <w:t>s</w:t>
      </w:r>
    </w:p>
    <w:p w:rsidR="006A539D" w:rsidRDefault="00E9737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t>6.10.3</w:t>
      </w:r>
    </w:p>
    <w:p w:rsidR="006A539D" w:rsidRDefault="00E9737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A539D" w:rsidRDefault="00E973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6A539D" w:rsidRDefault="00E9737A">
      <w:pPr>
        <w:rPr>
          <w:szCs w:val="21"/>
        </w:rPr>
      </w:pPr>
      <w:r>
        <w:rPr>
          <w:szCs w:val="21"/>
        </w:rPr>
        <w:t xml:space="preserve">In </w:t>
      </w:r>
      <w:r>
        <w:rPr>
          <w:szCs w:val="21"/>
        </w:rPr>
        <w:t>this contribution, considerations on some remaining issues of early measurement are provided.</w:t>
      </w:r>
    </w:p>
    <w:p w:rsidR="006A539D" w:rsidRDefault="00E973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6A539D" w:rsidRDefault="00E9737A">
      <w:pPr>
        <w:rPr>
          <w:szCs w:val="21"/>
        </w:rPr>
      </w:pPr>
      <w:r>
        <w:rPr>
          <w:szCs w:val="21"/>
        </w:rPr>
        <w:t xml:space="preserve">In LTE </w:t>
      </w:r>
      <w:proofErr w:type="spellStart"/>
      <w:r>
        <w:rPr>
          <w:szCs w:val="21"/>
        </w:rPr>
        <w:t>R15</w:t>
      </w:r>
      <w:proofErr w:type="spellEnd"/>
      <w:r>
        <w:rPr>
          <w:szCs w:val="21"/>
        </w:rPr>
        <w:t xml:space="preserve"> </w:t>
      </w:r>
      <w:proofErr w:type="spellStart"/>
      <w:r>
        <w:rPr>
          <w:szCs w:val="21"/>
        </w:rPr>
        <w:t>euCA</w:t>
      </w:r>
      <w:proofErr w:type="spellEnd"/>
      <w:r>
        <w:rPr>
          <w:szCs w:val="21"/>
        </w:rPr>
        <w:t xml:space="preserve">, the measurement results are reported via </w:t>
      </w:r>
      <w:proofErr w:type="spellStart"/>
      <w:r>
        <w:rPr>
          <w:i/>
          <w:iCs/>
          <w:szCs w:val="21"/>
        </w:rPr>
        <w:t>UEInformationResponse</w:t>
      </w:r>
      <w:proofErr w:type="spellEnd"/>
      <w:r>
        <w:rPr>
          <w:szCs w:val="21"/>
        </w:rPr>
        <w:t>. A UE can be configured with maximum 8 carrier frequencies for idle mod</w:t>
      </w:r>
      <w:r>
        <w:rPr>
          <w:szCs w:val="21"/>
        </w:rPr>
        <w:t xml:space="preserve">e measurement. While in </w:t>
      </w:r>
      <w:proofErr w:type="spellStart"/>
      <w:r>
        <w:rPr>
          <w:i/>
          <w:iCs/>
          <w:szCs w:val="21"/>
        </w:rPr>
        <w:t>UEInformationResponse</w:t>
      </w:r>
      <w:proofErr w:type="spellEnd"/>
      <w:r>
        <w:rPr>
          <w:szCs w:val="21"/>
        </w:rPr>
        <w:t xml:space="preserve">, at most only 3 neighboring inter-frequency carriers can be reported. </w:t>
      </w:r>
      <w:r>
        <w:rPr>
          <w:rFonts w:hint="eastAsia"/>
          <w:szCs w:val="21"/>
        </w:rPr>
        <w:t xml:space="preserve">Following are the related </w:t>
      </w:r>
      <w:proofErr w:type="gramStart"/>
      <w:r>
        <w:rPr>
          <w:rFonts w:hint="eastAsia"/>
          <w:szCs w:val="21"/>
        </w:rPr>
        <w:t>definition[</w:t>
      </w:r>
      <w:proofErr w:type="gramEnd"/>
      <w:r>
        <w:rPr>
          <w:rFonts w:hint="eastAsia"/>
          <w:szCs w:val="21"/>
        </w:rPr>
        <w:t>3].</w:t>
      </w:r>
    </w:p>
    <w:p w:rsidR="006A539D" w:rsidRDefault="00E97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proofErr w:type="spellStart"/>
      <w:proofErr w:type="gramStart"/>
      <w:r>
        <w:rPr>
          <w:rFonts w:ascii="Courier New" w:eastAsia="Times New Roman" w:hAnsi="Courier New"/>
          <w:sz w:val="16"/>
          <w:lang w:val="en-GB" w:eastAsia="ja-JP"/>
        </w:rPr>
        <w:t>maxIdleMeasCarriers-r15</w:t>
      </w:r>
      <w:proofErr w:type="spellEnd"/>
      <w:proofErr w:type="gramEnd"/>
      <w:r>
        <w:rPr>
          <w:rFonts w:ascii="Courier New" w:eastAsia="Times New Roman" w:hAnsi="Courier New"/>
          <w:sz w:val="16"/>
          <w:lang w:val="en-GB" w:eastAsia="ja-JP"/>
        </w:rPr>
        <w:tab/>
      </w:r>
      <w:r>
        <w:rPr>
          <w:rFonts w:ascii="Courier New" w:eastAsia="Times New Roman" w:hAnsi="Courier New"/>
          <w:sz w:val="16"/>
          <w:lang w:val="en-GB" w:eastAsia="ja-JP"/>
        </w:rPr>
        <w:tab/>
        <w:t>INTEGER ::= 3</w:t>
      </w:r>
      <w:r>
        <w:rPr>
          <w:rFonts w:ascii="Courier New" w:eastAsia="Times New Roman" w:hAnsi="Courier New"/>
          <w:sz w:val="16"/>
          <w:lang w:val="en-GB" w:eastAsia="ja-JP"/>
        </w:rPr>
        <w:tab/>
        <w:t>-- Maximum number of neighbouring inter-</w:t>
      </w:r>
    </w:p>
    <w:p w:rsidR="006A539D" w:rsidRDefault="00E97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 xml:space="preserve">-- </w:t>
      </w:r>
      <w:proofErr w:type="gramStart"/>
      <w:r>
        <w:rPr>
          <w:rFonts w:ascii="Courier New" w:eastAsia="Times New Roman" w:hAnsi="Courier New"/>
          <w:sz w:val="16"/>
          <w:lang w:val="en-GB" w:eastAsia="ja-JP"/>
        </w:rPr>
        <w:t>freq</w:t>
      </w:r>
      <w:r>
        <w:rPr>
          <w:rFonts w:ascii="Courier New" w:eastAsia="Times New Roman" w:hAnsi="Courier New"/>
          <w:sz w:val="16"/>
          <w:lang w:val="en-GB" w:eastAsia="ja-JP"/>
        </w:rPr>
        <w:t>uency</w:t>
      </w:r>
      <w:proofErr w:type="gramEnd"/>
      <w:r>
        <w:rPr>
          <w:rFonts w:ascii="Courier New" w:eastAsia="Times New Roman" w:hAnsi="Courier New"/>
          <w:sz w:val="16"/>
          <w:lang w:val="en-GB" w:eastAsia="ja-JP"/>
        </w:rPr>
        <w:t xml:space="preserve"> carriers measured in IDLE mode</w:t>
      </w:r>
    </w:p>
    <w:p w:rsidR="006A539D" w:rsidRDefault="00E97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i/>
          <w:iCs/>
          <w:sz w:val="16"/>
        </w:rPr>
      </w:pPr>
      <w:r>
        <w:rPr>
          <w:rFonts w:ascii="Courier New" w:eastAsia="宋体" w:hAnsi="Courier New" w:hint="eastAsia"/>
          <w:i/>
          <w:iCs/>
          <w:sz w:val="16"/>
        </w:rPr>
        <w:t>[</w:t>
      </w:r>
      <w:proofErr w:type="gramStart"/>
      <w:r>
        <w:rPr>
          <w:rFonts w:ascii="Courier New" w:eastAsia="宋体" w:hAnsi="Courier New" w:hint="eastAsia"/>
          <w:i/>
          <w:iCs/>
          <w:sz w:val="16"/>
        </w:rPr>
        <w:t>skip</w:t>
      </w:r>
      <w:proofErr w:type="gramEnd"/>
      <w:r>
        <w:rPr>
          <w:rFonts w:ascii="Courier New" w:eastAsia="宋体" w:hAnsi="Courier New" w:hint="eastAsia"/>
          <w:i/>
          <w:iCs/>
          <w:sz w:val="16"/>
        </w:rPr>
        <w:t xml:space="preserve"> irrelevant part]</w:t>
      </w:r>
    </w:p>
    <w:p w:rsidR="006A539D" w:rsidRDefault="00E97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proofErr w:type="spellStart"/>
      <w:proofErr w:type="gramStart"/>
      <w:r>
        <w:rPr>
          <w:rFonts w:ascii="Courier New" w:eastAsia="Times New Roman" w:hAnsi="Courier New"/>
          <w:sz w:val="16"/>
          <w:lang w:val="en-GB" w:eastAsia="ja-JP"/>
        </w:rPr>
        <w:t>maxFreqIdle-r15</w:t>
      </w:r>
      <w:proofErr w:type="spellEnd"/>
      <w:proofErr w:type="gramEnd"/>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INTEGER ::= 8</w:t>
      </w:r>
      <w:r>
        <w:rPr>
          <w:rFonts w:ascii="Courier New" w:eastAsia="Times New Roman" w:hAnsi="Courier New"/>
          <w:sz w:val="16"/>
          <w:lang w:val="en-GB" w:eastAsia="ja-JP"/>
        </w:rPr>
        <w:tab/>
        <w:t>-- Maximum number of carrier frequencies for</w:t>
      </w:r>
    </w:p>
    <w:p w:rsidR="006A539D" w:rsidRDefault="00E97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 IDLE mode measurements configured by eNB</w:t>
      </w:r>
    </w:p>
    <w:p w:rsidR="006A539D" w:rsidRDefault="00E9737A">
      <w:pPr>
        <w:rPr>
          <w:szCs w:val="21"/>
        </w:rPr>
      </w:pPr>
      <w:r>
        <w:rPr>
          <w:szCs w:val="21"/>
        </w:rPr>
        <w:t xml:space="preserve">Further, in LTE </w:t>
      </w:r>
      <w:proofErr w:type="spellStart"/>
      <w:r>
        <w:rPr>
          <w:szCs w:val="21"/>
        </w:rPr>
        <w:t>euCA</w:t>
      </w:r>
      <w:proofErr w:type="spellEnd"/>
      <w:r>
        <w:rPr>
          <w:szCs w:val="21"/>
        </w:rPr>
        <w:t xml:space="preserve">, </w:t>
      </w:r>
      <w:proofErr w:type="spellStart"/>
      <w:r>
        <w:rPr>
          <w:i/>
          <w:iCs/>
          <w:szCs w:val="21"/>
        </w:rPr>
        <w:t>measCellList</w:t>
      </w:r>
      <w:proofErr w:type="spellEnd"/>
      <w:r>
        <w:rPr>
          <w:i/>
          <w:iCs/>
          <w:szCs w:val="21"/>
        </w:rPr>
        <w:t xml:space="preserve"> </w:t>
      </w:r>
      <w:r>
        <w:rPr>
          <w:szCs w:val="21"/>
        </w:rPr>
        <w:t xml:space="preserve">can be configured for a </w:t>
      </w:r>
      <w:r>
        <w:rPr>
          <w:szCs w:val="21"/>
        </w:rPr>
        <w:t>frequency to indicate the cells which UE is requested to measure and report. In NR, it was already agreed a similar approach will be introduced [2].</w:t>
      </w:r>
    </w:p>
    <w:p w:rsidR="006A539D" w:rsidRDefault="00E9737A">
      <w:pPr>
        <w:rPr>
          <w:szCs w:val="21"/>
        </w:rPr>
      </w:pPr>
      <w:r>
        <w:rPr>
          <w:szCs w:val="21"/>
        </w:rPr>
        <w:t>It is unclear how UE determine which frequency will be reported if the number of carrier frequency for idle</w:t>
      </w:r>
      <w:r>
        <w:rPr>
          <w:szCs w:val="21"/>
        </w:rPr>
        <w:t xml:space="preserve"> mode measurement is larger than the maximum number of neighboring inter-frequency for report, i.e. </w:t>
      </w:r>
      <w:proofErr w:type="spellStart"/>
      <w:r>
        <w:rPr>
          <w:i/>
          <w:iCs/>
          <w:szCs w:val="21"/>
          <w:lang w:val="en-GB" w:eastAsia="ja-JP"/>
        </w:rPr>
        <w:t>maxIdleMeasCarriers-r15</w:t>
      </w:r>
      <w:proofErr w:type="spellEnd"/>
      <w:r>
        <w:rPr>
          <w:i/>
          <w:iCs/>
          <w:szCs w:val="21"/>
        </w:rPr>
        <w:t>.</w:t>
      </w:r>
      <w:r>
        <w:rPr>
          <w:szCs w:val="21"/>
        </w:rPr>
        <w:t xml:space="preserve"> And it is unclear whether a frequency is always reported if </w:t>
      </w:r>
      <w:proofErr w:type="spellStart"/>
      <w:r>
        <w:rPr>
          <w:i/>
          <w:iCs/>
          <w:szCs w:val="21"/>
        </w:rPr>
        <w:t>measCellList</w:t>
      </w:r>
      <w:proofErr w:type="spellEnd"/>
      <w:r>
        <w:rPr>
          <w:i/>
          <w:iCs/>
          <w:szCs w:val="21"/>
        </w:rPr>
        <w:t xml:space="preserve"> </w:t>
      </w:r>
      <w:r>
        <w:rPr>
          <w:szCs w:val="21"/>
        </w:rPr>
        <w:t>is configured for this frequency.</w:t>
      </w:r>
    </w:p>
    <w:p w:rsidR="006A539D" w:rsidRDefault="00E9737A">
      <w:pPr>
        <w:rPr>
          <w:szCs w:val="21"/>
        </w:rPr>
      </w:pPr>
      <w:r>
        <w:rPr>
          <w:szCs w:val="21"/>
        </w:rPr>
        <w:t xml:space="preserve">In </w:t>
      </w:r>
      <w:proofErr w:type="spellStart"/>
      <w:r>
        <w:rPr>
          <w:szCs w:val="21"/>
        </w:rPr>
        <w:t>R16</w:t>
      </w:r>
      <w:proofErr w:type="spellEnd"/>
      <w:r>
        <w:rPr>
          <w:szCs w:val="21"/>
        </w:rPr>
        <w:t>, the maximum numb</w:t>
      </w:r>
      <w:r>
        <w:rPr>
          <w:szCs w:val="21"/>
        </w:rPr>
        <w:t>er of frequency for report and maximum of frequency for early measurement is still not determined. But it is worthy discussion how to determine which frequency to be reported if the maximum number of frequency for early measurement is larger than the maxim</w:t>
      </w:r>
      <w:r>
        <w:rPr>
          <w:szCs w:val="21"/>
        </w:rPr>
        <w:t>um number of frequency for report.</w:t>
      </w:r>
    </w:p>
    <w:p w:rsidR="006A539D" w:rsidRDefault="00E9737A">
      <w:pPr>
        <w:rPr>
          <w:szCs w:val="21"/>
        </w:rPr>
      </w:pPr>
      <w:r>
        <w:rPr>
          <w:szCs w:val="21"/>
        </w:rPr>
        <w:t>Per our understanding, there are two options:</w:t>
      </w:r>
    </w:p>
    <w:p w:rsidR="006A539D" w:rsidRDefault="00E9737A">
      <w:pPr>
        <w:ind w:leftChars="200" w:left="420"/>
        <w:rPr>
          <w:szCs w:val="21"/>
        </w:rPr>
      </w:pPr>
      <w:r>
        <w:rPr>
          <w:b/>
          <w:bCs/>
          <w:szCs w:val="21"/>
        </w:rPr>
        <w:t>Option 1:</w:t>
      </w:r>
      <w:r>
        <w:rPr>
          <w:szCs w:val="21"/>
        </w:rPr>
        <w:t xml:space="preserve"> UE selects the carrier frequency for report based on measured cell quality. UE ranks the frequency </w:t>
      </w:r>
      <w:r>
        <w:rPr>
          <w:szCs w:val="21"/>
        </w:rPr>
        <w:lastRenderedPageBreak/>
        <w:t>according to the strongest cell quality of each frequency.</w:t>
      </w:r>
    </w:p>
    <w:p w:rsidR="006A539D" w:rsidRDefault="00E9737A">
      <w:pPr>
        <w:ind w:leftChars="200" w:left="420"/>
        <w:rPr>
          <w:szCs w:val="21"/>
        </w:rPr>
      </w:pPr>
      <w:r>
        <w:rPr>
          <w:b/>
          <w:bCs/>
          <w:szCs w:val="21"/>
        </w:rPr>
        <w:t xml:space="preserve">Option </w:t>
      </w:r>
      <w:r>
        <w:rPr>
          <w:b/>
          <w:bCs/>
          <w:szCs w:val="21"/>
        </w:rPr>
        <w:t>2:</w:t>
      </w:r>
      <w:r>
        <w:rPr>
          <w:szCs w:val="21"/>
        </w:rPr>
        <w:t xml:space="preserve"> UE ranks the carrier frequency based on frequency priority. The network configures report priority for each frequency according to its </w:t>
      </w:r>
      <w:proofErr w:type="spellStart"/>
      <w:r>
        <w:rPr>
          <w:szCs w:val="21"/>
        </w:rPr>
        <w:t>RRM</w:t>
      </w:r>
      <w:proofErr w:type="spellEnd"/>
      <w:r>
        <w:rPr>
          <w:szCs w:val="21"/>
        </w:rPr>
        <w:t xml:space="preserve"> policy. If </w:t>
      </w:r>
      <w:proofErr w:type="spellStart"/>
      <w:r>
        <w:rPr>
          <w:i/>
          <w:iCs/>
          <w:szCs w:val="21"/>
        </w:rPr>
        <w:t>measCellList</w:t>
      </w:r>
      <w:proofErr w:type="spellEnd"/>
      <w:r>
        <w:rPr>
          <w:i/>
          <w:iCs/>
          <w:szCs w:val="21"/>
        </w:rPr>
        <w:t xml:space="preserve"> </w:t>
      </w:r>
      <w:r>
        <w:rPr>
          <w:szCs w:val="21"/>
        </w:rPr>
        <w:t xml:space="preserve">is configured for a frequency, UE regards the frequency which is configured with </w:t>
      </w:r>
      <w:proofErr w:type="spellStart"/>
      <w:r>
        <w:rPr>
          <w:i/>
          <w:iCs/>
          <w:szCs w:val="21"/>
        </w:rPr>
        <w:t>measCellL</w:t>
      </w:r>
      <w:r>
        <w:rPr>
          <w:i/>
          <w:iCs/>
          <w:szCs w:val="21"/>
        </w:rPr>
        <w:t>ist</w:t>
      </w:r>
      <w:proofErr w:type="spellEnd"/>
      <w:r>
        <w:rPr>
          <w:i/>
          <w:iCs/>
          <w:szCs w:val="21"/>
        </w:rPr>
        <w:t xml:space="preserve"> </w:t>
      </w:r>
      <w:r>
        <w:rPr>
          <w:szCs w:val="21"/>
        </w:rPr>
        <w:t>as high priority.</w:t>
      </w:r>
    </w:p>
    <w:p w:rsidR="006A539D" w:rsidRDefault="00E9737A">
      <w:pPr>
        <w:rPr>
          <w:szCs w:val="21"/>
        </w:rPr>
      </w:pPr>
      <w:r>
        <w:rPr>
          <w:szCs w:val="21"/>
        </w:rPr>
        <w:t>One potential way forward is to combine these options. For example, if report priority is defined for each frequency, UE ranks the frequency according to report priority. For frequencies of same report priority, frequencies are ranked</w:t>
      </w:r>
      <w:r>
        <w:rPr>
          <w:szCs w:val="21"/>
        </w:rPr>
        <w:t xml:space="preserve"> based on its strongest cell quality.</w:t>
      </w:r>
    </w:p>
    <w:p w:rsidR="006A539D" w:rsidRDefault="00E9737A">
      <w:pPr>
        <w:rPr>
          <w:szCs w:val="21"/>
        </w:rPr>
      </w:pPr>
      <w:r>
        <w:rPr>
          <w:szCs w:val="21"/>
          <w:lang w:eastAsia="en-US"/>
        </w:rPr>
        <w:t xml:space="preserve">From network perspective, based on the deployment, </w:t>
      </w:r>
      <w:proofErr w:type="spellStart"/>
      <w:r>
        <w:rPr>
          <w:szCs w:val="21"/>
          <w:lang w:eastAsia="en-US"/>
        </w:rPr>
        <w:t>UE’s</w:t>
      </w:r>
      <w:proofErr w:type="spellEnd"/>
      <w:r>
        <w:rPr>
          <w:szCs w:val="21"/>
          <w:lang w:eastAsia="en-US"/>
        </w:rPr>
        <w:t xml:space="preserve"> service type and local policy, we see the benefit to control the priority of measured frequencies, by either implicit way (i.e. order of frequencies in </w:t>
      </w:r>
      <w:proofErr w:type="spellStart"/>
      <w:r>
        <w:rPr>
          <w:i/>
          <w:iCs/>
          <w:szCs w:val="21"/>
          <w:lang w:eastAsia="en-US"/>
        </w:rPr>
        <w:t>measIdleCa</w:t>
      </w:r>
      <w:r>
        <w:rPr>
          <w:i/>
          <w:iCs/>
          <w:szCs w:val="21"/>
          <w:lang w:eastAsia="en-US"/>
        </w:rPr>
        <w:t>rrierListNR</w:t>
      </w:r>
      <w:proofErr w:type="spellEnd"/>
      <w:r>
        <w:rPr>
          <w:szCs w:val="21"/>
          <w:lang w:eastAsia="en-US"/>
        </w:rPr>
        <w:t>) or explicit way (i.e. NW configures prior</w:t>
      </w:r>
      <w:bookmarkStart w:id="2" w:name="_GoBack"/>
      <w:bookmarkEnd w:id="2"/>
      <w:r>
        <w:rPr>
          <w:szCs w:val="21"/>
          <w:lang w:eastAsia="en-US"/>
        </w:rPr>
        <w:t xml:space="preserve">ity for each carrier). </w:t>
      </w:r>
      <w:r>
        <w:rPr>
          <w:rFonts w:hint="eastAsia"/>
          <w:szCs w:val="21"/>
        </w:rPr>
        <w:t>Considering the implicit way can not be used to indicate the equal priority for different frequency, we propose to introduce a priority</w:t>
      </w:r>
      <w:r>
        <w:rPr>
          <w:rFonts w:hint="eastAsia"/>
          <w:szCs w:val="21"/>
        </w:rPr>
        <w:t xml:space="preserve"> indicator for each frequency.</w:t>
      </w:r>
    </w:p>
    <w:p w:rsidR="006A539D" w:rsidRPr="007B05C6" w:rsidRDefault="00E9737A" w:rsidP="007B05C6">
      <w:pPr>
        <w:numPr>
          <w:ilvl w:val="255"/>
          <w:numId w:val="0"/>
        </w:numPr>
        <w:jc w:val="left"/>
        <w:rPr>
          <w:b/>
          <w:bCs/>
          <w:szCs w:val="21"/>
          <w:lang w:eastAsia="en-US"/>
        </w:rPr>
      </w:pPr>
      <w:r w:rsidRPr="007B05C6">
        <w:rPr>
          <w:b/>
          <w:bCs/>
          <w:szCs w:val="21"/>
        </w:rPr>
        <w:t xml:space="preserve">Proposal 1: </w:t>
      </w:r>
      <w:r w:rsidRPr="007B05C6">
        <w:rPr>
          <w:b/>
          <w:bCs/>
          <w:szCs w:val="21"/>
          <w:lang w:eastAsia="en-US"/>
        </w:rPr>
        <w:t xml:space="preserve">For each frequency </w:t>
      </w:r>
      <w:r>
        <w:rPr>
          <w:rFonts w:hint="eastAsia"/>
          <w:b/>
          <w:bCs/>
          <w:szCs w:val="21"/>
        </w:rPr>
        <w:t xml:space="preserve">for </w:t>
      </w:r>
      <w:r>
        <w:rPr>
          <w:rFonts w:hint="eastAsia"/>
          <w:b/>
          <w:bCs/>
          <w:szCs w:val="21"/>
        </w:rPr>
        <w:t>early measurement</w:t>
      </w:r>
      <w:r w:rsidRPr="007B05C6">
        <w:rPr>
          <w:b/>
          <w:bCs/>
          <w:szCs w:val="21"/>
          <w:lang w:eastAsia="en-US"/>
        </w:rPr>
        <w:t>, a priority indicator can be configured</w:t>
      </w:r>
      <w:r w:rsidRPr="007B05C6">
        <w:rPr>
          <w:b/>
          <w:bCs/>
          <w:szCs w:val="21"/>
          <w:lang w:eastAsia="en-US"/>
        </w:rPr>
        <w:t xml:space="preserve">, </w:t>
      </w:r>
      <w:r>
        <w:rPr>
          <w:rFonts w:hint="eastAsia"/>
          <w:b/>
          <w:bCs/>
          <w:szCs w:val="21"/>
        </w:rPr>
        <w:t xml:space="preserve">and the priority indicator </w:t>
      </w:r>
      <w:r w:rsidRPr="007B05C6">
        <w:rPr>
          <w:b/>
          <w:bCs/>
          <w:szCs w:val="21"/>
          <w:lang w:eastAsia="en-US"/>
        </w:rPr>
        <w:t>can be used in the ranking of measurement result</w:t>
      </w:r>
      <w:r w:rsidRPr="007B05C6">
        <w:rPr>
          <w:b/>
          <w:bCs/>
          <w:szCs w:val="21"/>
          <w:lang w:eastAsia="en-US"/>
        </w:rPr>
        <w:t>.</w:t>
      </w:r>
    </w:p>
    <w:p w:rsidR="006A539D" w:rsidRDefault="00E973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6A539D" w:rsidRPr="007B05C6" w:rsidRDefault="00E9737A">
      <w:pPr>
        <w:numPr>
          <w:ilvl w:val="255"/>
          <w:numId w:val="0"/>
        </w:numPr>
        <w:jc w:val="left"/>
        <w:rPr>
          <w:szCs w:val="21"/>
        </w:rPr>
      </w:pPr>
      <w:proofErr w:type="spellStart"/>
      <w:r w:rsidRPr="007B05C6">
        <w:rPr>
          <w:szCs w:val="21"/>
        </w:rPr>
        <w:t>RAN2</w:t>
      </w:r>
      <w:proofErr w:type="spellEnd"/>
      <w:r w:rsidRPr="007B05C6">
        <w:rPr>
          <w:szCs w:val="21"/>
        </w:rPr>
        <w:t xml:space="preserve"> is kindly asked to consider the proposal</w:t>
      </w:r>
      <w:r w:rsidRPr="007B05C6">
        <w:rPr>
          <w:szCs w:val="21"/>
        </w:rPr>
        <w:t>s as follow:</w:t>
      </w:r>
    </w:p>
    <w:p w:rsidR="006A539D" w:rsidRDefault="00E9737A">
      <w:pPr>
        <w:numPr>
          <w:ilvl w:val="255"/>
          <w:numId w:val="0"/>
        </w:numPr>
        <w:jc w:val="left"/>
        <w:rPr>
          <w:b/>
          <w:bCs/>
          <w:szCs w:val="21"/>
          <w:lang w:eastAsia="en-US"/>
        </w:rPr>
      </w:pPr>
      <w:r>
        <w:rPr>
          <w:rFonts w:hint="eastAsia"/>
          <w:b/>
          <w:bCs/>
          <w:szCs w:val="21"/>
        </w:rPr>
        <w:t xml:space="preserve">Proposal 1: </w:t>
      </w:r>
      <w:r>
        <w:rPr>
          <w:b/>
          <w:bCs/>
          <w:szCs w:val="21"/>
          <w:lang w:eastAsia="en-US"/>
        </w:rPr>
        <w:t xml:space="preserve">For each frequency </w:t>
      </w:r>
      <w:r>
        <w:rPr>
          <w:rFonts w:hint="eastAsia"/>
          <w:b/>
          <w:bCs/>
          <w:szCs w:val="21"/>
        </w:rPr>
        <w:t xml:space="preserve">for </w:t>
      </w:r>
      <w:r>
        <w:rPr>
          <w:rFonts w:hint="eastAsia"/>
          <w:b/>
          <w:bCs/>
          <w:szCs w:val="21"/>
        </w:rPr>
        <w:t>early measurement</w:t>
      </w:r>
      <w:r>
        <w:rPr>
          <w:b/>
          <w:bCs/>
          <w:szCs w:val="21"/>
          <w:lang w:eastAsia="en-US"/>
        </w:rPr>
        <w:t xml:space="preserve">, a priority indicator can be configured, </w:t>
      </w:r>
      <w:r>
        <w:rPr>
          <w:rFonts w:hint="eastAsia"/>
          <w:b/>
          <w:bCs/>
          <w:szCs w:val="21"/>
        </w:rPr>
        <w:t xml:space="preserve">and the priority indicator </w:t>
      </w:r>
      <w:r>
        <w:rPr>
          <w:b/>
          <w:bCs/>
          <w:szCs w:val="21"/>
          <w:lang w:eastAsia="en-US"/>
        </w:rPr>
        <w:t>can be used in the ranking of measurement result.</w:t>
      </w:r>
    </w:p>
    <w:p w:rsidR="006A539D" w:rsidRDefault="00E973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6A539D" w:rsidRDefault="00E9737A">
      <w:pPr>
        <w:pStyle w:val="ListParagraph1"/>
        <w:numPr>
          <w:ilvl w:val="0"/>
          <w:numId w:val="6"/>
        </w:numPr>
        <w:ind w:firstLineChars="0"/>
        <w:rPr>
          <w:sz w:val="20"/>
          <w:szCs w:val="20"/>
        </w:rPr>
      </w:pPr>
      <w:proofErr w:type="spellStart"/>
      <w:r>
        <w:rPr>
          <w:sz w:val="20"/>
          <w:szCs w:val="20"/>
        </w:rPr>
        <w:t>RNA2#105bis</w:t>
      </w:r>
      <w:proofErr w:type="spellEnd"/>
      <w:r>
        <w:rPr>
          <w:sz w:val="20"/>
          <w:szCs w:val="20"/>
        </w:rPr>
        <w:t xml:space="preserve"> Chairman notes</w:t>
      </w:r>
    </w:p>
    <w:p w:rsidR="006A539D" w:rsidRDefault="00E9737A">
      <w:pPr>
        <w:pStyle w:val="ListParagraph1"/>
        <w:numPr>
          <w:ilvl w:val="0"/>
          <w:numId w:val="6"/>
        </w:numPr>
        <w:ind w:firstLineChars="0"/>
        <w:rPr>
          <w:sz w:val="20"/>
          <w:szCs w:val="20"/>
        </w:rPr>
      </w:pPr>
      <w:proofErr w:type="spellStart"/>
      <w:r>
        <w:rPr>
          <w:sz w:val="20"/>
          <w:szCs w:val="20"/>
        </w:rPr>
        <w:t>RAN2#106</w:t>
      </w:r>
      <w:proofErr w:type="spellEnd"/>
      <w:r>
        <w:rPr>
          <w:sz w:val="20"/>
          <w:szCs w:val="20"/>
        </w:rPr>
        <w:t xml:space="preserve"> </w:t>
      </w:r>
      <w:r>
        <w:rPr>
          <w:sz w:val="20"/>
          <w:szCs w:val="20"/>
        </w:rPr>
        <w:t>Chairman notes</w:t>
      </w:r>
    </w:p>
    <w:p w:rsidR="006A539D" w:rsidRDefault="00E9737A">
      <w:pPr>
        <w:pStyle w:val="ListParagraph1"/>
        <w:numPr>
          <w:ilvl w:val="0"/>
          <w:numId w:val="6"/>
        </w:numPr>
        <w:ind w:firstLineChars="0"/>
        <w:rPr>
          <w:sz w:val="20"/>
          <w:szCs w:val="20"/>
        </w:rPr>
      </w:pPr>
      <w:proofErr w:type="spellStart"/>
      <w:r>
        <w:rPr>
          <w:sz w:val="20"/>
          <w:szCs w:val="20"/>
        </w:rPr>
        <w:t>TS</w:t>
      </w:r>
      <w:proofErr w:type="spellEnd"/>
      <w:r>
        <w:rPr>
          <w:sz w:val="20"/>
          <w:szCs w:val="20"/>
        </w:rPr>
        <w:t xml:space="preserve"> 36.331</w:t>
      </w:r>
    </w:p>
    <w:sectPr w:rsidR="006A539D">
      <w:headerReference w:type="default" r:id="rId8"/>
      <w:footerReference w:type="even" r:id="rId9"/>
      <w:footerReference w:type="default" r:id="rId10"/>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7A" w:rsidRDefault="00E9737A">
      <w:pPr>
        <w:spacing w:after="0" w:line="240" w:lineRule="auto"/>
      </w:pPr>
      <w:r>
        <w:separator/>
      </w:r>
    </w:p>
  </w:endnote>
  <w:endnote w:type="continuationSeparator" w:id="0">
    <w:p w:rsidR="00E9737A" w:rsidRDefault="00E97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39D" w:rsidRDefault="00E9737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A539D" w:rsidRDefault="006A539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39D" w:rsidRDefault="006A539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7A" w:rsidRDefault="00E9737A">
      <w:pPr>
        <w:spacing w:after="0" w:line="240" w:lineRule="auto"/>
      </w:pPr>
      <w:r>
        <w:separator/>
      </w:r>
    </w:p>
  </w:footnote>
  <w:footnote w:type="continuationSeparator" w:id="0">
    <w:p w:rsidR="00E9737A" w:rsidRDefault="00E973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39D" w:rsidRDefault="006A539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E45D53E"/>
    <w:multiLevelType w:val="multilevel"/>
    <w:tmpl w:val="5E45D53E"/>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7787453A"/>
    <w:multiLevelType w:val="multilevel"/>
    <w:tmpl w:val="7787453A"/>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EFD6A0C"/>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86158"/>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22E41"/>
    <w:rsid w:val="192B5D53"/>
    <w:rsid w:val="19322D84"/>
    <w:rsid w:val="194D319A"/>
    <w:rsid w:val="194D33E6"/>
    <w:rsid w:val="19775FAF"/>
    <w:rsid w:val="197E7EC1"/>
    <w:rsid w:val="199A798E"/>
    <w:rsid w:val="19A044BC"/>
    <w:rsid w:val="19B91B04"/>
    <w:rsid w:val="19BA1B8F"/>
    <w:rsid w:val="19C1622F"/>
    <w:rsid w:val="19DA5077"/>
    <w:rsid w:val="1A0C09AE"/>
    <w:rsid w:val="1A0C2310"/>
    <w:rsid w:val="1A0F0344"/>
    <w:rsid w:val="1A1E30D8"/>
    <w:rsid w:val="1A50145F"/>
    <w:rsid w:val="1A643357"/>
    <w:rsid w:val="1A690678"/>
    <w:rsid w:val="1A8C393D"/>
    <w:rsid w:val="1AB057E6"/>
    <w:rsid w:val="1AD97F79"/>
    <w:rsid w:val="1ADE782E"/>
    <w:rsid w:val="1AE419DF"/>
    <w:rsid w:val="1AE66911"/>
    <w:rsid w:val="1AEC2E03"/>
    <w:rsid w:val="1AEF0251"/>
    <w:rsid w:val="1AF7EC7D"/>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7380"/>
    <w:rsid w:val="1D837934"/>
    <w:rsid w:val="1D876168"/>
    <w:rsid w:val="1D8B1988"/>
    <w:rsid w:val="1D9E6E40"/>
    <w:rsid w:val="1DC735BA"/>
    <w:rsid w:val="1DCF713F"/>
    <w:rsid w:val="1DD64509"/>
    <w:rsid w:val="1DE05EB7"/>
    <w:rsid w:val="1DE5578F"/>
    <w:rsid w:val="1DFE5485"/>
    <w:rsid w:val="1E045AF5"/>
    <w:rsid w:val="1E0F008B"/>
    <w:rsid w:val="1E1FAE54"/>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8688E"/>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7FA0C0D"/>
    <w:rsid w:val="381C2C44"/>
    <w:rsid w:val="382F3E55"/>
    <w:rsid w:val="383303B2"/>
    <w:rsid w:val="384F0E62"/>
    <w:rsid w:val="385174E5"/>
    <w:rsid w:val="38591C77"/>
    <w:rsid w:val="386B5D1F"/>
    <w:rsid w:val="38773A25"/>
    <w:rsid w:val="38957BA7"/>
    <w:rsid w:val="38A5432F"/>
    <w:rsid w:val="38B3345E"/>
    <w:rsid w:val="38CE6C87"/>
    <w:rsid w:val="38D019A4"/>
    <w:rsid w:val="38D259D6"/>
    <w:rsid w:val="38DE78EC"/>
    <w:rsid w:val="38F210CC"/>
    <w:rsid w:val="38FE59EF"/>
    <w:rsid w:val="38FFE9D3"/>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BD69B9"/>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5FC59F2"/>
    <w:rsid w:val="461D4BCF"/>
    <w:rsid w:val="461F5BF5"/>
    <w:rsid w:val="462117F4"/>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18B2"/>
    <w:rsid w:val="4E7B669D"/>
    <w:rsid w:val="4E8648A2"/>
    <w:rsid w:val="4E8805E2"/>
    <w:rsid w:val="4EB44C13"/>
    <w:rsid w:val="4EBB5ABE"/>
    <w:rsid w:val="4EBC6108"/>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CD180F"/>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6271C8"/>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5731"/>
    <w:rsid w:val="57813D40"/>
    <w:rsid w:val="57842620"/>
    <w:rsid w:val="578C014D"/>
    <w:rsid w:val="578E4FB0"/>
    <w:rsid w:val="57BE26AF"/>
    <w:rsid w:val="57C21512"/>
    <w:rsid w:val="57C2629A"/>
    <w:rsid w:val="57D15132"/>
    <w:rsid w:val="57DD7A3B"/>
    <w:rsid w:val="57DF49A2"/>
    <w:rsid w:val="57DF51C1"/>
    <w:rsid w:val="57ED47FC"/>
    <w:rsid w:val="57FFAF45"/>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2167"/>
    <w:rsid w:val="5A6F533B"/>
    <w:rsid w:val="5A7B0D86"/>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DF31EA9"/>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DFA36D"/>
    <w:rsid w:val="5F217812"/>
    <w:rsid w:val="5F37767B"/>
    <w:rsid w:val="5F536842"/>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E05154"/>
    <w:rsid w:val="6EEA03F2"/>
    <w:rsid w:val="6F2E0EED"/>
    <w:rsid w:val="6F3478BB"/>
    <w:rsid w:val="6F6716D3"/>
    <w:rsid w:val="6F6C0E42"/>
    <w:rsid w:val="6F7C3F56"/>
    <w:rsid w:val="6FC170B5"/>
    <w:rsid w:val="6FC66ECC"/>
    <w:rsid w:val="6FD74AB8"/>
    <w:rsid w:val="6FDD5A68"/>
    <w:rsid w:val="6FF33BC0"/>
    <w:rsid w:val="6FFF274E"/>
    <w:rsid w:val="6FFFE6F2"/>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AF2126"/>
    <w:rsid w:val="77BB317F"/>
    <w:rsid w:val="77C47D08"/>
    <w:rsid w:val="77D646B3"/>
    <w:rsid w:val="77E64A52"/>
    <w:rsid w:val="77F4AD7B"/>
    <w:rsid w:val="77FD2D80"/>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A066D60"/>
    <w:rsid w:val="7A067274"/>
    <w:rsid w:val="7A262840"/>
    <w:rsid w:val="7A3E1E86"/>
    <w:rsid w:val="7A6B4F43"/>
    <w:rsid w:val="7A6B6AF1"/>
    <w:rsid w:val="7A6F7E38"/>
    <w:rsid w:val="7A7A00A1"/>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D2E0078"/>
    <w:rsid w:val="7D3550B2"/>
    <w:rsid w:val="7D7D2832"/>
    <w:rsid w:val="7D8C05E9"/>
    <w:rsid w:val="7D94273B"/>
    <w:rsid w:val="7DAD0A8D"/>
    <w:rsid w:val="7DB51D20"/>
    <w:rsid w:val="7DC0720D"/>
    <w:rsid w:val="7DC66901"/>
    <w:rsid w:val="7DCF2E20"/>
    <w:rsid w:val="7DE718D5"/>
    <w:rsid w:val="7DF622E7"/>
    <w:rsid w:val="7E0E7161"/>
    <w:rsid w:val="7E135004"/>
    <w:rsid w:val="7E1C08DF"/>
    <w:rsid w:val="7E260F64"/>
    <w:rsid w:val="7E390E9C"/>
    <w:rsid w:val="7E5C5A2E"/>
    <w:rsid w:val="7E777226"/>
    <w:rsid w:val="7E7A31E1"/>
    <w:rsid w:val="7EBE0B74"/>
    <w:rsid w:val="7EC141E6"/>
    <w:rsid w:val="7EC918E9"/>
    <w:rsid w:val="7ED31EC3"/>
    <w:rsid w:val="7EDF6ECA"/>
    <w:rsid w:val="7EF7F316"/>
    <w:rsid w:val="7EFC3EE0"/>
    <w:rsid w:val="7F0333BC"/>
    <w:rsid w:val="7F3866A9"/>
    <w:rsid w:val="7F4679A3"/>
    <w:rsid w:val="7F507D30"/>
    <w:rsid w:val="7F645B60"/>
    <w:rsid w:val="7F685D4E"/>
    <w:rsid w:val="7F7731E4"/>
    <w:rsid w:val="7F7D483D"/>
    <w:rsid w:val="7F951E5C"/>
    <w:rsid w:val="7FA93ADF"/>
    <w:rsid w:val="7FAB6391"/>
    <w:rsid w:val="7FCC36B7"/>
    <w:rsid w:val="7FCF1F18"/>
    <w:rsid w:val="7FDF7381"/>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1772B2-48FE-453E-A8AC-A1A75830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3048</Characters>
  <Application>Microsoft Office Word</Application>
  <DocSecurity>0</DocSecurity>
  <Lines>25</Lines>
  <Paragraphs>7</Paragraphs>
  <ScaleCrop>false</ScaleCrop>
  <Company>ZTE</Company>
  <LinksUpToDate>false</LinksUpToDate>
  <CharactersWithSpaces>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cp:revision>
  <cp:lastPrinted>2113-01-01T16:00:00Z</cp:lastPrinted>
  <dcterms:created xsi:type="dcterms:W3CDTF">2019-11-08T16:29:00Z</dcterms:created>
  <dcterms:modified xsi:type="dcterms:W3CDTF">2020-02-14T06:06:00Z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